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5A9" w:rsidRPr="009465A9" w:rsidRDefault="009465A9" w:rsidP="009465A9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b/>
        </w:rPr>
        <w:t>Тема 3 Предпринимательское право РК: понятие, виды, формы регулирования законодательством РК.</w:t>
      </w:r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Современная концепция предпринимательского (хозяйственного) права уже не является такой цельной и единой, какой она была в условиях развитого социализма. Распад бывшего СССР и образование независимых и суверенных государств привели к коренным изменениям в общественной и экономической жизни, следствием чего явились переход от экономики закрытого типа к рыночной экономике и демократические преобразования, направленные на построение правового государства.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это повлияло и на систему права и на составляющие ее структурные элементы (отрасли права,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подотрасли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права и правовые институты). Одни отрасли права исчезли (колхозное, совхозное, теория социалистического государства и права), другие фундаментальные отрасли права (гражданское, административное, уголовное) трансформировались, а третьи комплексные отрасли права (инвестиционное, предпринимательское, банковское и другие) появились и получили развитие.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отношении предпринимательского (хозяйственного) права можно выделить </w:t>
      </w:r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три основных подхода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пониманию его сущности и правовой природы.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Так, согласно </w:t>
      </w:r>
      <w:r w:rsidRPr="009465A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первой точке зрения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предпринимательское (хозяйственное) право является самостоятельной отраслью права</w:t>
      </w:r>
      <w:bookmarkStart w:id="0" w:name="_ftnref8"/>
      <w:bookmarkEnd w:id="0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"https://online.zakon.kz/Document/?doc_id=34775278&amp;pos=223;-31" \l "_ftn8" \o "" </w:instrTex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  <w:lang w:eastAsia="ru-RU"/>
        </w:rPr>
        <w:t>[8]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Хотя, конечно, ее сторонники, понимают, что содержание предмета и метода предпринимательского (хозяйственного) права существенно изменились. Так, В.С. Мартемьянов полагает, что в сферу предпринимательского (хозяйственного) права перешли отношения, возникающие в процессе реализации собственности граждан для производства товаров, работ и услуг, а также расширилось число субъектов - участников хозяйственных отношений (это и физические лица - предприниматели, и юридические лица - предприятия, организации, объединения юридических лиц, а также государство в лице своих органов, то есть те субъекты, которые действуют профессионально в интересах и потребностях рынка, с целью извлечения собственной прибыли)</w:t>
      </w:r>
      <w:bookmarkStart w:id="1" w:name="_ftnref9"/>
      <w:bookmarkEnd w:id="1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"https://online.zakon.kz/Document/?doc_id=34775278&amp;pos=223;-31" \l "_ftn9" \o "" </w:instrTex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  <w:lang w:eastAsia="ru-RU"/>
        </w:rPr>
        <w:t>[9]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Второе направление 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исследовании предпринимательского (хозяйственного) права основано на признании известной целостности предпринимательского (хозяйственного) законодательства. Ю.Г.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Басин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отмечал в этой связи, что предпринимательское (хозяйственное) право выступает как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подотрасль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гражданского права, а предпринимательское (хозяйственное) законодательство - как комплексная отрасль законодательства</w:t>
      </w:r>
      <w:bookmarkStart w:id="2" w:name="_ftnref10"/>
      <w:bookmarkEnd w:id="2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"https://online.zakon.kz/Document/?doc_id=34775278&amp;pos=223;-31" \l "_ftn10" \o "" </w:instrTex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  <w:lang w:eastAsia="ru-RU"/>
        </w:rPr>
        <w:t>[10]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Представители </w:t>
      </w:r>
      <w:r w:rsidRPr="009465A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третьего направления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(например, Н.Ю. Круглова, П.Г.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Лахно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С.П. Мороз) полагают, что предпринимательское право - это комплексная отрасль права</w:t>
      </w:r>
      <w:bookmarkStart w:id="3" w:name="_ftnref11"/>
      <w:bookmarkEnd w:id="3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"https://online.zakon.kz/Document/?doc_id=34775278&amp;pos=223;-31" \l "_ftn11" \o "" </w:instrTex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  <w:lang w:eastAsia="ru-RU"/>
        </w:rPr>
        <w:t>[11]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объединяющая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частно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-правовые и публично-правовые нормы различной отраслевой принадлежности (гражданского права, административного права, международного права, финансового права и т.п.).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М.К. Сулейменовым высказывается мнение о том, что предпринимательское право следует понимать двояко: в узком смысле, предпринимательское право представляет собой часть гражданского права; в то же время предпринимательское право можно понимать в широком смысле как комплексное образование, объединяющее нормы различных отраслей права (гражданского, административного, финансового, таможенного, трудового и др.)</w:t>
      </w:r>
      <w:bookmarkStart w:id="4" w:name="_ftnref12"/>
      <w:bookmarkEnd w:id="4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"https://online.zakon.kz/Document/?doc_id=34775278&amp;pos=223;-31" \l "_ftn12" \o "" </w:instrTex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  <w:lang w:eastAsia="ru-RU"/>
        </w:rPr>
        <w:t>[12]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целом с последним утверждением можно согласиться, но идея комплексности предпринимательского права выглядит предпочтительнее ввиду того, что в случае признания предпринимательского права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подотраслью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гражданского права вне регулирования останутся отношения государственного регулирования предпринимательской деятельности, которые никак не могут входить в сферу гражданского права. Даже если рассматривать гражданское право, по предложению Е.А. Суханова, как самую крупную по объему отрасль права, в содержание которой все ее элементы входят на правах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подотраслей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общая часть (положения, касающиеся лиц, объектов гражданских прав, сделок, представительства, сроков исковой давности); вещное право; 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обязательственное право; исключительные права (интеллектуальная и промышленная собственность); наследственное право; семейное право; торговое (коммерческое) право; международное частное право</w:t>
      </w:r>
      <w:bookmarkStart w:id="5" w:name="_ftnref13"/>
      <w:bookmarkEnd w:id="5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"https://online.zakon.kz/Document/?doc_id=34775278&amp;pos=223;-31" \l "_ftn13" \o "" </w:instrTex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vertAlign w:val="superscript"/>
          <w:lang w:eastAsia="ru-RU"/>
        </w:rPr>
        <w:t>[13]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в предлагаемом варианте частное право отождествляется с гражданским правом и представляет собой некую «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суперотрасль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а не систему отраслей, как это принято считать.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 </w:t>
      </w:r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предпринимательское право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комплексная отрасль права, объединяющая нормы различных отраслей права. Комплексная отрасль права - это не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полуотрасль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как полагают отдельные ученые, это отрасль права, отличающаяся от основной (профилирующей) отрасли права, но еще более существенным образом она отличается от правового института и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подотрасли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права. Комплексная отрасль права представляет собой, прежде всего, отрасль права, обладающую единым предметом правового регулирования, тогда как отсутствует специфический отраслевой метод, но имеет место специальный, хотя и не видовой юридический режим.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западном правоведении сложились два основных подхода к решению вопроса о месте предпринимательского права в системе права.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 </w:t>
      </w:r>
      <w:r w:rsidRPr="009465A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первому подходу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А. </w:t>
      </w:r>
      <w:proofErr w:type="spellStart"/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Жакомэн</w:t>
      </w:r>
      <w:proofErr w:type="spellEnd"/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Г. </w:t>
      </w:r>
      <w:proofErr w:type="spellStart"/>
      <w:r w:rsidRPr="009465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Шранц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хозяйственное право не является отраслью права или отраслью законодательства, поскольку представляет собой новый способ разработки или применения норм права, регулирующих экономические отношения, это право, рассматриваемое с точки зрения его экономических последствий</w:t>
      </w:r>
      <w:bookmarkStart w:id="6" w:name="_ftnref14"/>
      <w:bookmarkEnd w:id="6"/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instrText xml:space="preserve"> HYPERLINK "https://online.zakon.kz/Document/?doc_id=34775278&amp;pos=223;-31" \l "_ftn14" \o "" </w:instrTex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333399"/>
          <w:sz w:val="18"/>
          <w:szCs w:val="18"/>
          <w:u w:val="single"/>
          <w:vertAlign w:val="superscript"/>
          <w:lang w:eastAsia="ru-RU"/>
        </w:rPr>
        <w:t>[14]</w: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Второй подход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изучению хозяйственного права заключается в признании его самостоятельной отраслью права. Вместе с тем, в рамках данной концепции мнения ученых разделились и появились приверженцы понимания хозяйственного права в узком и широком смыслах.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Сторонники </w:t>
      </w:r>
      <w:r w:rsidRPr="009465A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узкой трактовки</w:t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включают в хозяйственное право нормы, регулирующие отношения по государственному регулированию экономики (в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т.ч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правовое регулирование национализации, ценообразования, налоговое, таможенное и валютное регулирование и т.п.)</w:t>
      </w:r>
      <w:bookmarkStart w:id="7" w:name="_ftnref15"/>
      <w:bookmarkEnd w:id="7"/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instrText xml:space="preserve"> HYPERLINK "https://online.zakon.kz/Document/?doc_id=34775278&amp;pos=223;-31" \l "_ftn15" \o "" </w:instrTex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333399"/>
          <w:sz w:val="18"/>
          <w:szCs w:val="18"/>
          <w:u w:val="single"/>
          <w:vertAlign w:val="superscript"/>
          <w:lang w:eastAsia="ru-RU"/>
        </w:rPr>
        <w:t>[15]</w: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хозяйственное право относится к отраслям публичного права. Такая точка зрения преобладает в юридической практике некоторых стран континентального права (например, Германии и Нидерландов).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других странах континентального права придерживаются позиции о тождестве и единстве хозяйственного и торгового права (например, Франция и Бельгия).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Широкая трактовка хозяйственного права сводится к признанию комплексной, т.е. публично-правовой и </w:t>
      </w:r>
      <w:proofErr w:type="spellStart"/>
      <w:proofErr w:type="gram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частно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-правовой</w:t>
      </w:r>
      <w:proofErr w:type="gram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природы предпринимательского права. Впервые эту идею высказал и обосновал немецкий юрист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Гольдшмидт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своей известной монографии «Имперское хозяйственное право»»), который противопоставил частное хозяйство, основанное на принципе свободы экономической деятельности, общественному хозяйству</w:t>
      </w:r>
      <w:bookmarkStart w:id="8" w:name="_ftnref16"/>
      <w:bookmarkEnd w:id="8"/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instrText xml:space="preserve"> HYPERLINK "https://online.zakon.kz/Document/?doc_id=34775278&amp;pos=223;-31" \l "_ftn16" \o "" </w:instrTex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333399"/>
          <w:sz w:val="18"/>
          <w:szCs w:val="18"/>
          <w:u w:val="single"/>
          <w:vertAlign w:val="superscript"/>
          <w:lang w:eastAsia="ru-RU"/>
        </w:rPr>
        <w:t>[16]</w: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Еще более широкая трактовка в понимании хозяйственного права заключается в отождествлении хозяйственного и экономического права. Ее сторонники (французские ученые - Ж.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Амель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Ж. </w:t>
      </w:r>
      <w:proofErr w:type="spellStart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Лагард</w:t>
      </w:r>
      <w:proofErr w:type="spellEnd"/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считают, что экономическое право призвано регулировать хозяйственные отношения</w:t>
      </w:r>
      <w:bookmarkStart w:id="9" w:name="_ftnref17"/>
      <w:bookmarkEnd w:id="9"/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begin"/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instrText xml:space="preserve"> HYPERLINK "https://online.zakon.kz/Document/?doc_id=34775278&amp;pos=223;-31" \l "_ftn17" \o "" </w:instrTex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separate"/>
      </w:r>
      <w:r w:rsidRPr="009465A9">
        <w:rPr>
          <w:rFonts w:ascii="Times New Roman" w:eastAsia="Times New Roman" w:hAnsi="Times New Roman" w:cs="Times New Roman"/>
          <w:color w:val="333399"/>
          <w:sz w:val="18"/>
          <w:szCs w:val="18"/>
          <w:u w:val="single"/>
          <w:vertAlign w:val="superscript"/>
          <w:lang w:eastAsia="ru-RU"/>
        </w:rPr>
        <w:t>[17]</w:t>
      </w:r>
      <w:r w:rsidRPr="009465A9">
        <w:rPr>
          <w:rFonts w:ascii="Times New Roman" w:eastAsia="Times New Roman" w:hAnsi="Times New Roman" w:cs="Times New Roman"/>
          <w:color w:val="000000"/>
          <w:sz w:val="18"/>
          <w:szCs w:val="18"/>
          <w:vertAlign w:val="superscript"/>
          <w:lang w:eastAsia="ru-RU"/>
        </w:rPr>
        <w:fldChar w:fldCharType="end"/>
      </w: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465A9" w:rsidRPr="009465A9" w:rsidRDefault="009465A9" w:rsidP="009465A9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65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общем, можно сделать вывод о том, что в зарубежной юридической литературе сторонники широкого понимания хозяйственного права включают в него нормы различных отраслей права (гражданского, административного, финансового, трудового, международного, уголовного и других отраслей права), регулирующие отношения, возникающие в процессе осуществления хозяйственной деятельности.</w:t>
      </w:r>
    </w:p>
    <w:p w:rsidR="009465A9" w:rsidRPr="003739FE" w:rsidRDefault="009465A9" w:rsidP="009465A9">
      <w:pPr>
        <w:shd w:val="clear" w:color="auto" w:fill="FFFFFF"/>
        <w:spacing w:before="100" w:beforeAutospacing="1" w:after="300" w:line="240" w:lineRule="auto"/>
        <w:jc w:val="center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ОЦЕНКА ЗНАНИЙ ОБУЧАЮЩЕГОСЯ</w:t>
      </w:r>
    </w:p>
    <w:p w:rsidR="009465A9" w:rsidRPr="003739FE" w:rsidRDefault="009465A9" w:rsidP="009465A9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</w:p>
    <w:p w:rsidR="009465A9" w:rsidRPr="003739FE" w:rsidRDefault="009465A9" w:rsidP="009465A9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color w:val="202020"/>
          <w:sz w:val="27"/>
          <w:szCs w:val="27"/>
          <w:lang w:eastAsia="ru-RU"/>
        </w:rPr>
      </w:pPr>
      <w:r w:rsidRPr="003739FE">
        <w:rPr>
          <w:rFonts w:ascii="Arial" w:eastAsia="Times New Roman" w:hAnsi="Arial" w:cs="Arial"/>
          <w:color w:val="202020"/>
          <w:sz w:val="27"/>
          <w:szCs w:val="27"/>
          <w:lang w:eastAsia="ru-RU"/>
        </w:rPr>
        <w:lastRenderedPageBreak/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465A9" w:rsidRPr="003739FE" w:rsidRDefault="009465A9" w:rsidP="009465A9">
      <w:pPr>
        <w:shd w:val="clear" w:color="auto" w:fill="FFFFFF"/>
        <w:spacing w:before="100" w:beforeAutospacing="1" w:after="300" w:line="240" w:lineRule="auto"/>
        <w:jc w:val="both"/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Оценивается в 1</w:t>
      </w:r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0</w:t>
      </w:r>
      <w:r w:rsidR="0015190D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>0</w:t>
      </w:r>
      <w:bookmarkStart w:id="10" w:name="_GoBack"/>
      <w:bookmarkEnd w:id="10"/>
      <w:r w:rsidRPr="003739FE">
        <w:rPr>
          <w:rFonts w:ascii="Arial" w:eastAsia="Times New Roman" w:hAnsi="Arial" w:cs="Arial"/>
          <w:b/>
          <w:color w:val="202020"/>
          <w:sz w:val="27"/>
          <w:szCs w:val="27"/>
          <w:lang w:eastAsia="ru-RU"/>
        </w:rPr>
        <w:t xml:space="preserve"> баллов</w:t>
      </w:r>
    </w:p>
    <w:p w:rsidR="009465A9" w:rsidRPr="009F405E" w:rsidRDefault="009465A9" w:rsidP="009465A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405E">
        <w:rPr>
          <w:rFonts w:ascii="Times New Roman" w:hAnsi="Times New Roman" w:cs="Times New Roman"/>
          <w:b/>
          <w:sz w:val="24"/>
          <w:szCs w:val="24"/>
        </w:rPr>
        <w:t>ПОДГОТОВИТЬ РЕФЕРАТ</w:t>
      </w:r>
    </w:p>
    <w:p w:rsidR="00003831" w:rsidRDefault="00003831"/>
    <w:sectPr w:rsidR="00003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9C0"/>
    <w:rsid w:val="00003831"/>
    <w:rsid w:val="000039C0"/>
    <w:rsid w:val="0015190D"/>
    <w:rsid w:val="0094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6D048"/>
  <w15:chartTrackingRefBased/>
  <w15:docId w15:val="{62429466-DCCF-4F47-8E60-393F74FF9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9465A9"/>
  </w:style>
  <w:style w:type="character" w:styleId="a3">
    <w:name w:val="Hyperlink"/>
    <w:basedOn w:val="a0"/>
    <w:uiPriority w:val="99"/>
    <w:semiHidden/>
    <w:unhideWhenUsed/>
    <w:rsid w:val="009465A9"/>
    <w:rPr>
      <w:color w:val="0000FF"/>
      <w:u w:val="single"/>
    </w:rPr>
  </w:style>
  <w:style w:type="character" w:styleId="a4">
    <w:name w:val="footnote reference"/>
    <w:basedOn w:val="a0"/>
    <w:uiPriority w:val="99"/>
    <w:semiHidden/>
    <w:unhideWhenUsed/>
    <w:rsid w:val="009465A9"/>
  </w:style>
  <w:style w:type="character" w:customStyle="1" w:styleId="s0">
    <w:name w:val="s0"/>
    <w:basedOn w:val="a0"/>
    <w:rsid w:val="00946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1314</Words>
  <Characters>7493</Characters>
  <Application>Microsoft Office Word</Application>
  <DocSecurity>0</DocSecurity>
  <Lines>62</Lines>
  <Paragraphs>17</Paragraphs>
  <ScaleCrop>false</ScaleCrop>
  <Company/>
  <LinksUpToDate>false</LinksUpToDate>
  <CharactersWithSpaces>8790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2023-01-09T04:04:00Z</dcterms:created>
  <dcterms:modified xsi:type="dcterms:W3CDTF">2025-09-10T10:40:00Z</dcterms:modified>
</cp:coreProperties>
</file>